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807" w:rsidRPr="00A87807" w:rsidRDefault="00A87807" w:rsidP="00A87807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A87807">
        <w:rPr>
          <w:rFonts w:ascii="Times New Roman" w:hAnsi="Times New Roman" w:cs="Times New Roman"/>
          <w:b/>
          <w:color w:val="E36C0A" w:themeColor="accent6" w:themeShade="BF"/>
          <w:sz w:val="32"/>
          <w:szCs w:val="32"/>
          <w:u w:val="single"/>
        </w:rPr>
        <w:t>Critères distinctifs des trois espèces d’</w:t>
      </w:r>
      <w:r w:rsidRPr="00A87807">
        <w:rPr>
          <w:rFonts w:ascii="Times New Roman" w:hAnsi="Times New Roman" w:cs="Times New Roman"/>
          <w:b/>
          <w:i/>
          <w:iCs/>
          <w:color w:val="E36C0A" w:themeColor="accent6" w:themeShade="BF"/>
          <w:sz w:val="32"/>
          <w:szCs w:val="32"/>
          <w:u w:val="single"/>
        </w:rPr>
        <w:t xml:space="preserve">Arum </w:t>
      </w:r>
      <w:r w:rsidRPr="00A87807">
        <w:rPr>
          <w:rFonts w:ascii="Times New Roman" w:hAnsi="Times New Roman" w:cs="Times New Roman"/>
          <w:b/>
          <w:color w:val="E36C0A" w:themeColor="accent6" w:themeShade="BF"/>
          <w:sz w:val="32"/>
          <w:szCs w:val="32"/>
          <w:u w:val="single"/>
        </w:rPr>
        <w:t>présents en Languedoc</w:t>
      </w:r>
      <w:r w:rsidRPr="00A87807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A87807" w:rsidRPr="00A87807" w:rsidRDefault="00A87807" w:rsidP="00A8780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87807">
        <w:rPr>
          <w:rFonts w:ascii="Times New Roman" w:hAnsi="Times New Roman" w:cs="Times New Roman"/>
          <w:sz w:val="20"/>
          <w:szCs w:val="20"/>
        </w:rPr>
        <w:t>Entre crochets, les numéros des photos illustrant le critère.</w:t>
      </w:r>
    </w:p>
    <w:p w:rsidR="00A01A95" w:rsidRPr="00A87807" w:rsidRDefault="00A87807" w:rsidP="00A8780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87807">
        <w:rPr>
          <w:rFonts w:ascii="Times New Roman" w:hAnsi="Times New Roman" w:cs="Times New Roman"/>
          <w:b/>
          <w:i/>
          <w:sz w:val="28"/>
          <w:szCs w:val="28"/>
        </w:rPr>
        <w:t>par</w:t>
      </w:r>
      <w:proofErr w:type="gramEnd"/>
      <w:r w:rsidRPr="00A87807">
        <w:rPr>
          <w:rFonts w:ascii="Times New Roman" w:hAnsi="Times New Roman" w:cs="Times New Roman"/>
          <w:b/>
          <w:i/>
          <w:sz w:val="28"/>
          <w:szCs w:val="28"/>
        </w:rPr>
        <w:t xml:space="preserve"> Frédéric ANDRIEU DU </w:t>
      </w:r>
      <w:proofErr w:type="spellStart"/>
      <w:r w:rsidRPr="00A87807">
        <w:rPr>
          <w:rFonts w:ascii="Times New Roman" w:hAnsi="Times New Roman" w:cs="Times New Roman"/>
          <w:b/>
          <w:i/>
          <w:sz w:val="28"/>
          <w:szCs w:val="28"/>
        </w:rPr>
        <w:t>CBNmed</w:t>
      </w:r>
      <w:proofErr w:type="spellEnd"/>
      <w:r w:rsidR="006B3F98">
        <w:rPr>
          <w:rFonts w:ascii="Times New Roman" w:hAnsi="Times New Roman" w:cs="Times New Roman"/>
          <w:b/>
          <w:i/>
          <w:sz w:val="28"/>
          <w:szCs w:val="28"/>
        </w:rPr>
        <w:t xml:space="preserve"> et Christian BERNARD</w:t>
      </w:r>
    </w:p>
    <w:p w:rsidR="00A87807" w:rsidRDefault="00A87807" w:rsidP="00A87807">
      <w:pPr>
        <w:spacing w:after="0"/>
      </w:pPr>
    </w:p>
    <w:tbl>
      <w:tblPr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95"/>
        <w:gridCol w:w="34"/>
        <w:gridCol w:w="2629"/>
        <w:gridCol w:w="9"/>
        <w:gridCol w:w="2576"/>
        <w:gridCol w:w="44"/>
        <w:gridCol w:w="2631"/>
      </w:tblGrid>
      <w:tr w:rsidR="00A87807" w:rsidRPr="007C3BC1" w:rsidTr="00BD3911">
        <w:trPr>
          <w:trHeight w:val="172"/>
        </w:trPr>
        <w:tc>
          <w:tcPr>
            <w:tcW w:w="2595" w:type="dxa"/>
          </w:tcPr>
          <w:p w:rsidR="00A87807" w:rsidRPr="0064094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672" w:type="dxa"/>
            <w:gridSpan w:val="3"/>
          </w:tcPr>
          <w:p w:rsidR="00A87807" w:rsidRPr="00640941" w:rsidRDefault="00A87807" w:rsidP="00BD3911">
            <w:pPr>
              <w:pStyle w:val="Default"/>
              <w:ind w:left="207"/>
              <w:rPr>
                <w:rFonts w:ascii="Times New Roman" w:hAnsi="Times New Roman" w:cs="Times New Roman"/>
                <w:b/>
              </w:rPr>
            </w:pPr>
            <w:r w:rsidRPr="00640941">
              <w:rPr>
                <w:rFonts w:ascii="Times New Roman" w:hAnsi="Times New Roman" w:cs="Times New Roman"/>
                <w:b/>
                <w:i/>
                <w:iCs/>
              </w:rPr>
              <w:t xml:space="preserve">A. </w:t>
            </w:r>
            <w:proofErr w:type="spellStart"/>
            <w:r w:rsidRPr="00640941">
              <w:rPr>
                <w:rFonts w:ascii="Times New Roman" w:hAnsi="Times New Roman" w:cs="Times New Roman"/>
                <w:b/>
                <w:i/>
                <w:iCs/>
              </w:rPr>
              <w:t>cylindraceum</w:t>
            </w:r>
            <w:proofErr w:type="spellEnd"/>
            <w:r w:rsidRPr="00640941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</w:p>
        </w:tc>
        <w:tc>
          <w:tcPr>
            <w:tcW w:w="2576" w:type="dxa"/>
          </w:tcPr>
          <w:p w:rsidR="00A87807" w:rsidRPr="00640941" w:rsidRDefault="00A87807" w:rsidP="00BD3911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40941">
              <w:rPr>
                <w:rFonts w:ascii="Times New Roman" w:hAnsi="Times New Roman" w:cs="Times New Roman"/>
                <w:b/>
                <w:i/>
                <w:iCs/>
              </w:rPr>
              <w:t xml:space="preserve">A. </w:t>
            </w:r>
            <w:proofErr w:type="spellStart"/>
            <w:r w:rsidRPr="00640941">
              <w:rPr>
                <w:rFonts w:ascii="Times New Roman" w:hAnsi="Times New Roman" w:cs="Times New Roman"/>
                <w:b/>
                <w:i/>
                <w:iCs/>
              </w:rPr>
              <w:t>maculatum</w:t>
            </w:r>
            <w:proofErr w:type="spellEnd"/>
            <w:r w:rsidRPr="00640941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</w:p>
        </w:tc>
        <w:tc>
          <w:tcPr>
            <w:tcW w:w="2675" w:type="dxa"/>
            <w:gridSpan w:val="2"/>
          </w:tcPr>
          <w:p w:rsidR="00A87807" w:rsidRPr="00640941" w:rsidRDefault="00A87807" w:rsidP="00BD3911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640941">
              <w:rPr>
                <w:rFonts w:ascii="Times New Roman" w:hAnsi="Times New Roman" w:cs="Times New Roman"/>
                <w:b/>
                <w:i/>
                <w:iCs/>
              </w:rPr>
              <w:t xml:space="preserve">A. </w:t>
            </w:r>
            <w:proofErr w:type="spellStart"/>
            <w:r w:rsidRPr="00640941">
              <w:rPr>
                <w:rFonts w:ascii="Times New Roman" w:hAnsi="Times New Roman" w:cs="Times New Roman"/>
                <w:b/>
                <w:i/>
                <w:iCs/>
              </w:rPr>
              <w:t>italicum</w:t>
            </w:r>
            <w:proofErr w:type="spellEnd"/>
            <w:r w:rsidRPr="00640941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</w:p>
        </w:tc>
      </w:tr>
      <w:tr w:rsidR="00A87807" w:rsidRPr="007C3BC1" w:rsidTr="00BD3911">
        <w:trPr>
          <w:trHeight w:val="330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Émergence des feuilles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Fin d’hiver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Fin d’hiver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Fin d’automne ou en hiver </w:t>
            </w:r>
          </w:p>
        </w:tc>
      </w:tr>
      <w:tr w:rsidR="00A87807" w:rsidRPr="007C3BC1" w:rsidTr="00BD3911">
        <w:trPr>
          <w:trHeight w:val="926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Feuille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Non maculée ; oreillettes arrondies et souvent peu marquées [1-1 ; 1-2]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Tachée ou veinée de noir, parfois de clair, ou non maculée ; oreillettes généralement peu divergentes à convergentes [2-1 ; 2-2]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Tachée ou veinée de clair ; oreillettes généralement pointues et fortement divergentes </w:t>
            </w:r>
          </w:p>
        </w:tc>
      </w:tr>
      <w:tr w:rsidR="00A87807" w:rsidRPr="007C3BC1" w:rsidTr="00BD3911">
        <w:trPr>
          <w:trHeight w:val="1076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Stipe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Aussi long que le pétiole des feuilles, d’où inflorescence souvent située au-dessus des feuilles (s’allonge à la fructification). Vert glaucescent, notamment à la fructification [1-2 ; 1-4]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Nettement plus court que le pétiole des feuilles à la floraison, d’où inflorescence partiellement cachée par les feuilles (s’allonge à la fructification). Vert franc, non glaucescent [2-2 ; 2-4]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Plus court que le pétiole des feuilles à la floraison (mais peut allonger à la fructification) </w:t>
            </w:r>
          </w:p>
        </w:tc>
      </w:tr>
      <w:tr w:rsidR="00A87807" w:rsidRPr="007C3BC1" w:rsidTr="00BD3911">
        <w:trPr>
          <w:trHeight w:val="775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Spathe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12-20 cm de long, verdâtre à l’extérieur, blanchâtre à l’intérieur, généralement peu ouverte, ± persistante à la maturation des fruits [1-2 ; 1-3]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12-25 cm de long, verdâtre à jaunâtre, souvent lavée de pourpre, largement ouverte, </w:t>
            </w:r>
            <w:r w:rsidRPr="009C066A">
              <w:rPr>
                <w:rFonts w:ascii="Times New Roman" w:hAnsi="Times New Roman" w:cs="Times New Roman"/>
              </w:rPr>
              <w:t>caduque avant maturation des fruits</w:t>
            </w:r>
            <w:r w:rsidRPr="007C3BC1">
              <w:rPr>
                <w:rFonts w:ascii="Times New Roman" w:hAnsi="Times New Roman" w:cs="Times New Roman"/>
              </w:rPr>
              <w:t xml:space="preserve"> [2-3]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15-50 cm de long, verdâtre, blanchâtre intérieurement </w:t>
            </w:r>
          </w:p>
        </w:tc>
      </w:tr>
      <w:tr w:rsidR="00A87807" w:rsidRPr="007C3BC1" w:rsidTr="00BD3911">
        <w:trPr>
          <w:trHeight w:val="477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Spadice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Cylindrique, à peine élargi à son sommet ; violacé [1-3]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Nettement épaissi à son sommet ; violacé (parfois jaune) [2-3]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Nettement épaissi à son sommet ; jaune clair </w:t>
            </w:r>
          </w:p>
        </w:tc>
      </w:tr>
      <w:tr w:rsidR="00A87807" w:rsidRPr="007C3BC1" w:rsidTr="00BD3911">
        <w:trPr>
          <w:trHeight w:val="326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Odeur des fleurs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Urine le premier jour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Non perceptible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Urine le premier jour </w:t>
            </w:r>
          </w:p>
        </w:tc>
      </w:tr>
      <w:tr w:rsidR="00A87807" w:rsidRPr="007C3BC1" w:rsidTr="00BD3911">
        <w:trPr>
          <w:trHeight w:val="657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proofErr w:type="spellStart"/>
            <w:r w:rsidRPr="007C3BC1">
              <w:rPr>
                <w:rFonts w:ascii="Times New Roman" w:hAnsi="Times New Roman" w:cs="Times New Roman"/>
              </w:rPr>
              <w:t>Infrutescence</w:t>
            </w:r>
            <w:proofErr w:type="spellEnd"/>
            <w:r w:rsidRPr="007C3B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Moins de 40 fruits [1-4]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30 à 60 fruits ou plus [2-4]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60 à 80-110 fruits </w:t>
            </w:r>
          </w:p>
        </w:tc>
      </w:tr>
      <w:tr w:rsidR="00A87807" w:rsidRPr="007C3BC1" w:rsidTr="00BD3911">
        <w:trPr>
          <w:trHeight w:val="627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Fruits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Longtemps verts en raison d’une maturation tardive, et deviennent rouge orangé vers la fin août </w:t>
            </w:r>
            <w:r w:rsidRPr="00A81CDC">
              <w:rPr>
                <w:rFonts w:ascii="Times New Roman" w:hAnsi="Times New Roman" w:cs="Times New Roman"/>
                <w:b/>
                <w:color w:val="575AC9"/>
              </w:rPr>
              <w:t xml:space="preserve">et </w:t>
            </w:r>
            <w:r>
              <w:rPr>
                <w:rFonts w:ascii="Times New Roman" w:hAnsi="Times New Roman" w:cs="Times New Roman"/>
                <w:b/>
                <w:color w:val="575AC9"/>
              </w:rPr>
              <w:t>= ou &lt; à</w:t>
            </w:r>
            <w:r w:rsidRPr="00A81CDC">
              <w:rPr>
                <w:rFonts w:ascii="Times New Roman" w:hAnsi="Times New Roman" w:cs="Times New Roman"/>
                <w:b/>
                <w:color w:val="575AC9"/>
              </w:rPr>
              <w:t xml:space="preserve"> 40</w:t>
            </w:r>
          </w:p>
        </w:tc>
        <w:tc>
          <w:tcPr>
            <w:tcW w:w="2629" w:type="dxa"/>
            <w:gridSpan w:val="3"/>
          </w:tcPr>
          <w:p w:rsidR="00A87807" w:rsidRPr="00A81CDC" w:rsidRDefault="00A87807" w:rsidP="00BD391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A81CDC">
              <w:rPr>
                <w:rFonts w:ascii="Times New Roman" w:hAnsi="Times New Roman" w:cs="Times New Roman"/>
                <w:color w:val="auto"/>
              </w:rPr>
              <w:t xml:space="preserve">Rouge vif </w:t>
            </w:r>
          </w:p>
          <w:p w:rsidR="00A87807" w:rsidRPr="00A81CDC" w:rsidRDefault="00A87807" w:rsidP="00BD3911">
            <w:pPr>
              <w:pStyle w:val="Default"/>
              <w:rPr>
                <w:rFonts w:ascii="Times New Roman" w:hAnsi="Times New Roman" w:cs="Times New Roman"/>
                <w:b/>
                <w:color w:val="575AC9"/>
              </w:rPr>
            </w:pPr>
          </w:p>
          <w:p w:rsidR="00A87807" w:rsidRPr="00A81CDC" w:rsidRDefault="00A87807" w:rsidP="00BD3911">
            <w:pPr>
              <w:pStyle w:val="Default"/>
              <w:rPr>
                <w:rFonts w:ascii="Times New Roman" w:hAnsi="Times New Roman" w:cs="Times New Roman"/>
                <w:b/>
                <w:color w:val="575AC9"/>
              </w:rPr>
            </w:pPr>
            <w:r w:rsidRPr="00A81CDC">
              <w:rPr>
                <w:rFonts w:ascii="Times New Roman" w:hAnsi="Times New Roman" w:cs="Times New Roman"/>
                <w:b/>
                <w:color w:val="575AC9"/>
              </w:rPr>
              <w:t>&gt;40</w:t>
            </w:r>
          </w:p>
        </w:tc>
        <w:tc>
          <w:tcPr>
            <w:tcW w:w="2631" w:type="dxa"/>
          </w:tcPr>
          <w:p w:rsidR="00A87807" w:rsidRPr="00A81CDC" w:rsidRDefault="00A87807" w:rsidP="00BD391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A81CDC">
              <w:rPr>
                <w:rFonts w:ascii="Times New Roman" w:hAnsi="Times New Roman" w:cs="Times New Roman"/>
                <w:color w:val="auto"/>
              </w:rPr>
              <w:t xml:space="preserve">Rouge vif </w:t>
            </w:r>
          </w:p>
          <w:p w:rsidR="00A87807" w:rsidRPr="00A81CDC" w:rsidRDefault="00A87807" w:rsidP="00BD3911">
            <w:pPr>
              <w:pStyle w:val="Default"/>
              <w:rPr>
                <w:rFonts w:ascii="Times New Roman" w:hAnsi="Times New Roman" w:cs="Times New Roman"/>
                <w:b/>
                <w:color w:val="575AC9"/>
              </w:rPr>
            </w:pPr>
          </w:p>
          <w:p w:rsidR="00A87807" w:rsidRPr="00A81CDC" w:rsidRDefault="00A87807" w:rsidP="00BD3911">
            <w:pPr>
              <w:pStyle w:val="Default"/>
              <w:rPr>
                <w:rFonts w:ascii="Times New Roman" w:hAnsi="Times New Roman" w:cs="Times New Roman"/>
                <w:b/>
                <w:color w:val="575AC9"/>
              </w:rPr>
            </w:pPr>
            <w:r w:rsidRPr="00A81CDC">
              <w:rPr>
                <w:rFonts w:ascii="Times New Roman" w:hAnsi="Times New Roman" w:cs="Times New Roman"/>
                <w:b/>
                <w:color w:val="575AC9"/>
              </w:rPr>
              <w:t>&gt;40</w:t>
            </w:r>
          </w:p>
        </w:tc>
      </w:tr>
      <w:tr w:rsidR="00A87807" w:rsidRPr="007C3BC1" w:rsidTr="00BD3911">
        <w:trPr>
          <w:trHeight w:val="326"/>
        </w:trPr>
        <w:tc>
          <w:tcPr>
            <w:tcW w:w="2629" w:type="dxa"/>
            <w:gridSpan w:val="2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Tubercule </w:t>
            </w:r>
          </w:p>
        </w:tc>
        <w:tc>
          <w:tcPr>
            <w:tcW w:w="2629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Discoïde (aplati verticalement généralement) [1-5] </w:t>
            </w:r>
          </w:p>
        </w:tc>
        <w:tc>
          <w:tcPr>
            <w:tcW w:w="2629" w:type="dxa"/>
            <w:gridSpan w:val="3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Rhizomateux, cylindrique, parfois ramifié [2-5] </w:t>
            </w:r>
          </w:p>
        </w:tc>
        <w:tc>
          <w:tcPr>
            <w:tcW w:w="2631" w:type="dxa"/>
          </w:tcPr>
          <w:p w:rsidR="00A87807" w:rsidRPr="007C3BC1" w:rsidRDefault="00A87807" w:rsidP="00BD3911">
            <w:pPr>
              <w:pStyle w:val="Default"/>
              <w:rPr>
                <w:rFonts w:ascii="Times New Roman" w:hAnsi="Times New Roman" w:cs="Times New Roman"/>
              </w:rPr>
            </w:pPr>
            <w:r w:rsidRPr="007C3BC1">
              <w:rPr>
                <w:rFonts w:ascii="Times New Roman" w:hAnsi="Times New Roman" w:cs="Times New Roman"/>
              </w:rPr>
              <w:t xml:space="preserve">Rhizomateux, cylindrique, souvent ramifié </w:t>
            </w:r>
          </w:p>
        </w:tc>
      </w:tr>
    </w:tbl>
    <w:p w:rsidR="00BA0F0D" w:rsidRPr="00BA0F0D" w:rsidRDefault="00BA0F0D" w:rsidP="00BA0F0D">
      <w:pPr>
        <w:pStyle w:val="Default"/>
      </w:pPr>
      <w:r w:rsidRPr="00BA0F0D">
        <w:rPr>
          <w:b/>
          <w:i/>
          <w:iCs/>
        </w:rPr>
        <w:t xml:space="preserve">Arum </w:t>
      </w:r>
      <w:proofErr w:type="spellStart"/>
      <w:r w:rsidRPr="00BA0F0D">
        <w:rPr>
          <w:b/>
          <w:i/>
          <w:iCs/>
        </w:rPr>
        <w:t>cylindraceum</w:t>
      </w:r>
      <w:proofErr w:type="spellEnd"/>
      <w:r w:rsidRPr="00BA0F0D">
        <w:rPr>
          <w:b/>
          <w:i/>
          <w:iCs/>
        </w:rPr>
        <w:t xml:space="preserve"> </w:t>
      </w:r>
      <w:proofErr w:type="spellStart"/>
      <w:r w:rsidRPr="00BA0F0D">
        <w:rPr>
          <w:b/>
        </w:rPr>
        <w:t>Gasp</w:t>
      </w:r>
      <w:proofErr w:type="spellEnd"/>
      <w:r w:rsidRPr="00BA0F0D">
        <w:rPr>
          <w:b/>
        </w:rPr>
        <w:t xml:space="preserve">. </w:t>
      </w:r>
      <w:proofErr w:type="gramStart"/>
      <w:r w:rsidRPr="00BA0F0D">
        <w:rPr>
          <w:b/>
        </w:rPr>
        <w:t>est</w:t>
      </w:r>
      <w:proofErr w:type="gramEnd"/>
      <w:r w:rsidRPr="00BA0F0D">
        <w:rPr>
          <w:b/>
        </w:rPr>
        <w:t xml:space="preserve"> l’une des quatre espèces d’</w:t>
      </w:r>
      <w:r w:rsidRPr="00BA0F0D">
        <w:rPr>
          <w:b/>
          <w:i/>
          <w:iCs/>
        </w:rPr>
        <w:t xml:space="preserve">Arum </w:t>
      </w:r>
      <w:r w:rsidRPr="00BA0F0D">
        <w:rPr>
          <w:b/>
        </w:rPr>
        <w:t>présentes en France</w:t>
      </w:r>
      <w:r w:rsidRPr="00BA0F0D">
        <w:t xml:space="preserve">. </w:t>
      </w:r>
    </w:p>
    <w:p w:rsidR="00BA0F0D" w:rsidRPr="00BA0F0D" w:rsidRDefault="00BA0F0D" w:rsidP="00BA0F0D">
      <w:pPr>
        <w:pStyle w:val="Default"/>
        <w:rPr>
          <w:rFonts w:ascii="Times New Roman" w:hAnsi="Times New Roman" w:cs="Times New Roman"/>
          <w:b/>
          <w:bCs/>
          <w:u w:val="single"/>
        </w:rPr>
      </w:pPr>
      <w:r w:rsidRPr="00BA0F0D">
        <w:rPr>
          <w:rFonts w:ascii="Times New Roman" w:hAnsi="Times New Roman" w:cs="Times New Roman"/>
        </w:rPr>
        <w:t xml:space="preserve">Au sein du genre </w:t>
      </w:r>
      <w:r w:rsidRPr="00BA0F0D">
        <w:rPr>
          <w:rFonts w:ascii="Times New Roman" w:hAnsi="Times New Roman" w:cs="Times New Roman"/>
          <w:i/>
          <w:iCs/>
        </w:rPr>
        <w:t>Arum</w:t>
      </w:r>
      <w:r w:rsidRPr="00BA0F0D">
        <w:rPr>
          <w:rFonts w:ascii="Times New Roman" w:hAnsi="Times New Roman" w:cs="Times New Roman"/>
        </w:rPr>
        <w:t xml:space="preserve">, ce taxon se rapporte à la section </w:t>
      </w:r>
      <w:proofErr w:type="spellStart"/>
      <w:r w:rsidRPr="00BA0F0D">
        <w:rPr>
          <w:rFonts w:ascii="Times New Roman" w:hAnsi="Times New Roman" w:cs="Times New Roman"/>
          <w:i/>
          <w:iCs/>
        </w:rPr>
        <w:t>Dioscoridea</w:t>
      </w:r>
      <w:proofErr w:type="spellEnd"/>
      <w:r w:rsidRPr="00BA0F0D">
        <w:rPr>
          <w:rFonts w:ascii="Times New Roman" w:hAnsi="Times New Roman" w:cs="Times New Roman"/>
          <w:i/>
          <w:iCs/>
        </w:rPr>
        <w:t xml:space="preserve"> </w:t>
      </w:r>
      <w:r w:rsidRPr="00BA0F0D">
        <w:rPr>
          <w:rFonts w:ascii="Times New Roman" w:hAnsi="Times New Roman" w:cs="Times New Roman"/>
        </w:rPr>
        <w:t>(</w:t>
      </w:r>
      <w:proofErr w:type="spellStart"/>
      <w:r w:rsidRPr="00BA0F0D">
        <w:rPr>
          <w:rFonts w:ascii="Times New Roman" w:hAnsi="Times New Roman" w:cs="Times New Roman"/>
        </w:rPr>
        <w:t>Engl</w:t>
      </w:r>
      <w:proofErr w:type="spellEnd"/>
      <w:r w:rsidRPr="00BA0F0D">
        <w:rPr>
          <w:rFonts w:ascii="Times New Roman" w:hAnsi="Times New Roman" w:cs="Times New Roman"/>
        </w:rPr>
        <w:t xml:space="preserve">.) P.C. Boyce, sous-section </w:t>
      </w:r>
      <w:r w:rsidRPr="00BA0F0D">
        <w:rPr>
          <w:rFonts w:ascii="Times New Roman" w:hAnsi="Times New Roman" w:cs="Times New Roman"/>
          <w:i/>
          <w:iCs/>
        </w:rPr>
        <w:t xml:space="preserve">Alpina </w:t>
      </w:r>
      <w:r w:rsidRPr="00BA0F0D">
        <w:rPr>
          <w:rFonts w:ascii="Times New Roman" w:hAnsi="Times New Roman" w:cs="Times New Roman"/>
        </w:rPr>
        <w:t>P.C. Boyce</w:t>
      </w:r>
    </w:p>
    <w:p w:rsidR="00BA0F0D" w:rsidRPr="00BA0F0D" w:rsidRDefault="00BA0F0D" w:rsidP="00BA0F0D">
      <w:pPr>
        <w:pStyle w:val="Default"/>
        <w:rPr>
          <w:rFonts w:ascii="Times New Roman" w:hAnsi="Times New Roman" w:cs="Times New Roman"/>
          <w:bCs/>
        </w:rPr>
      </w:pPr>
      <w:r w:rsidRPr="00BA0F0D">
        <w:rPr>
          <w:rFonts w:ascii="Times New Roman" w:hAnsi="Times New Roman" w:cs="Times New Roman"/>
          <w:b/>
          <w:bCs/>
        </w:rPr>
        <w:t xml:space="preserve">D’un point de vue </w:t>
      </w:r>
      <w:proofErr w:type="spellStart"/>
      <w:r w:rsidRPr="00BA0F0D">
        <w:rPr>
          <w:rFonts w:ascii="Times New Roman" w:hAnsi="Times New Roman" w:cs="Times New Roman"/>
          <w:b/>
          <w:bCs/>
        </w:rPr>
        <w:t>caryologique</w:t>
      </w:r>
      <w:proofErr w:type="spellEnd"/>
      <w:r w:rsidRPr="00BA0F0D">
        <w:rPr>
          <w:rFonts w:ascii="Times New Roman" w:hAnsi="Times New Roman" w:cs="Times New Roman"/>
          <w:b/>
          <w:bCs/>
        </w:rPr>
        <w:t xml:space="preserve">, </w:t>
      </w:r>
      <w:r w:rsidRPr="00BA0F0D">
        <w:rPr>
          <w:rFonts w:ascii="Times New Roman" w:hAnsi="Times New Roman" w:cs="Times New Roman"/>
          <w:bCs/>
        </w:rPr>
        <w:t xml:space="preserve">A. </w:t>
      </w:r>
      <w:proofErr w:type="spellStart"/>
      <w:r w:rsidRPr="00BA0F0D">
        <w:rPr>
          <w:rFonts w:ascii="Times New Roman" w:hAnsi="Times New Roman" w:cs="Times New Roman"/>
          <w:bCs/>
        </w:rPr>
        <w:t>cylindraceum</w:t>
      </w:r>
      <w:proofErr w:type="spellEnd"/>
      <w:r w:rsidRPr="00BA0F0D">
        <w:rPr>
          <w:rFonts w:ascii="Times New Roman" w:hAnsi="Times New Roman" w:cs="Times New Roman"/>
          <w:bCs/>
        </w:rPr>
        <w:t xml:space="preserve"> est un taxon diploïde (2n = 28), tandis que les deux autres espèces classiquement rencontrées en France sont tétraploïde (A. </w:t>
      </w:r>
      <w:proofErr w:type="spellStart"/>
      <w:r w:rsidRPr="00BA0F0D">
        <w:rPr>
          <w:rFonts w:ascii="Times New Roman" w:hAnsi="Times New Roman" w:cs="Times New Roman"/>
          <w:bCs/>
        </w:rPr>
        <w:t>maculatum</w:t>
      </w:r>
      <w:proofErr w:type="spellEnd"/>
      <w:r w:rsidRPr="00BA0F0D">
        <w:rPr>
          <w:rFonts w:ascii="Times New Roman" w:hAnsi="Times New Roman" w:cs="Times New Roman"/>
          <w:bCs/>
        </w:rPr>
        <w:t xml:space="preserve">) et </w:t>
      </w:r>
      <w:proofErr w:type="spellStart"/>
      <w:r w:rsidRPr="00BA0F0D">
        <w:rPr>
          <w:rFonts w:ascii="Times New Roman" w:hAnsi="Times New Roman" w:cs="Times New Roman"/>
          <w:bCs/>
        </w:rPr>
        <w:t>hexaploïde</w:t>
      </w:r>
      <w:proofErr w:type="spellEnd"/>
      <w:r w:rsidRPr="00BA0F0D">
        <w:rPr>
          <w:rFonts w:ascii="Times New Roman" w:hAnsi="Times New Roman" w:cs="Times New Roman"/>
          <w:bCs/>
        </w:rPr>
        <w:t xml:space="preserve"> (A. </w:t>
      </w:r>
      <w:proofErr w:type="spellStart"/>
      <w:r w:rsidRPr="00BA0F0D">
        <w:rPr>
          <w:rFonts w:ascii="Times New Roman" w:hAnsi="Times New Roman" w:cs="Times New Roman"/>
          <w:bCs/>
        </w:rPr>
        <w:t>italicum</w:t>
      </w:r>
      <w:proofErr w:type="spellEnd"/>
      <w:r w:rsidRPr="00BA0F0D">
        <w:rPr>
          <w:rFonts w:ascii="Times New Roman" w:hAnsi="Times New Roman" w:cs="Times New Roman"/>
          <w:bCs/>
        </w:rPr>
        <w:t>)</w:t>
      </w:r>
    </w:p>
    <w:p w:rsidR="00A87807" w:rsidRPr="00BA0F0D" w:rsidRDefault="00BA0F0D" w:rsidP="00BA0F0D">
      <w:pPr>
        <w:pStyle w:val="Default"/>
        <w:rPr>
          <w:rFonts w:ascii="Times New Roman" w:hAnsi="Times New Roman" w:cs="Times New Roman"/>
          <w:b/>
          <w:bCs/>
        </w:rPr>
      </w:pPr>
      <w:r w:rsidRPr="00BA0F0D">
        <w:rPr>
          <w:rFonts w:ascii="Times New Roman" w:hAnsi="Times New Roman" w:cs="Times New Roman"/>
        </w:rPr>
        <w:t>…</w:t>
      </w:r>
      <w:r w:rsidRPr="00BA0F0D">
        <w:rPr>
          <w:rFonts w:ascii="Times New Roman" w:hAnsi="Times New Roman" w:cs="Times New Roman"/>
          <w:b/>
        </w:rPr>
        <w:t xml:space="preserve">rechercher </w:t>
      </w:r>
      <w:r w:rsidRPr="00BA0F0D">
        <w:rPr>
          <w:rFonts w:ascii="Times New Roman" w:hAnsi="Times New Roman" w:cs="Times New Roman"/>
          <w:b/>
          <w:i/>
          <w:iCs/>
        </w:rPr>
        <w:t xml:space="preserve">A. </w:t>
      </w:r>
      <w:proofErr w:type="spellStart"/>
      <w:r w:rsidRPr="00BA0F0D">
        <w:rPr>
          <w:rFonts w:ascii="Times New Roman" w:hAnsi="Times New Roman" w:cs="Times New Roman"/>
          <w:b/>
          <w:i/>
          <w:iCs/>
        </w:rPr>
        <w:t>cylindraceum</w:t>
      </w:r>
      <w:proofErr w:type="spellEnd"/>
      <w:r w:rsidRPr="00BA0F0D">
        <w:rPr>
          <w:rFonts w:ascii="Times New Roman" w:hAnsi="Times New Roman" w:cs="Times New Roman"/>
          <w:b/>
          <w:i/>
          <w:iCs/>
        </w:rPr>
        <w:t xml:space="preserve"> </w:t>
      </w:r>
      <w:r w:rsidRPr="00BA0F0D">
        <w:rPr>
          <w:rFonts w:ascii="Times New Roman" w:hAnsi="Times New Roman" w:cs="Times New Roman"/>
          <w:b/>
        </w:rPr>
        <w:t>au printemps, au stade floral</w:t>
      </w:r>
      <w:r w:rsidRPr="00BA0F0D">
        <w:rPr>
          <w:rFonts w:ascii="Times New Roman" w:hAnsi="Times New Roman" w:cs="Times New Roman"/>
        </w:rPr>
        <w:t xml:space="preserve">. La plante est alors bien visible et présente des critères morphologiques discriminants (spadice, spathe, stipe) …. </w:t>
      </w:r>
      <w:proofErr w:type="gramStart"/>
      <w:r w:rsidRPr="00BA0F0D">
        <w:rPr>
          <w:rFonts w:ascii="Times New Roman" w:hAnsi="Times New Roman" w:cs="Times New Roman"/>
          <w:b/>
        </w:rPr>
        <w:t>plus</w:t>
      </w:r>
      <w:proofErr w:type="gramEnd"/>
      <w:r w:rsidRPr="00BA0F0D">
        <w:rPr>
          <w:rFonts w:ascii="Times New Roman" w:hAnsi="Times New Roman" w:cs="Times New Roman"/>
          <w:b/>
        </w:rPr>
        <w:t xml:space="preserve"> tard en saison</w:t>
      </w:r>
      <w:r w:rsidRPr="00BA0F0D">
        <w:rPr>
          <w:rFonts w:ascii="Times New Roman" w:hAnsi="Times New Roman" w:cs="Times New Roman"/>
        </w:rPr>
        <w:t xml:space="preserve">. Chez cette espèce, la maturité des fruits est plus tardive, si bien qu’en fin d’été (fin août) elle est toujours observable, mais </w:t>
      </w:r>
      <w:r w:rsidRPr="00BA0F0D">
        <w:rPr>
          <w:rFonts w:ascii="Times New Roman" w:hAnsi="Times New Roman" w:cs="Times New Roman"/>
          <w:b/>
        </w:rPr>
        <w:t>au stade fructifère</w:t>
      </w:r>
      <w:r w:rsidRPr="00BA0F0D">
        <w:rPr>
          <w:rFonts w:ascii="Times New Roman" w:hAnsi="Times New Roman" w:cs="Times New Roman"/>
        </w:rPr>
        <w:t>…  hampes fructifères ornées d’une 40aine à peine de fruits rouge orangé (fruits plus nombreux chez les 2autres espèces de la région).</w:t>
      </w:r>
    </w:p>
    <w:sectPr w:rsidR="00A87807" w:rsidRPr="00BA0F0D" w:rsidSect="00A878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7807"/>
    <w:rsid w:val="006B3F98"/>
    <w:rsid w:val="009F3844"/>
    <w:rsid w:val="00A01A95"/>
    <w:rsid w:val="00A87807"/>
    <w:rsid w:val="00BA0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8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878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460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</dc:creator>
  <cp:lastModifiedBy>perso</cp:lastModifiedBy>
  <cp:revision>4</cp:revision>
  <dcterms:created xsi:type="dcterms:W3CDTF">2021-03-08T17:31:00Z</dcterms:created>
  <dcterms:modified xsi:type="dcterms:W3CDTF">2021-03-08T17:43:00Z</dcterms:modified>
</cp:coreProperties>
</file>